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9548F6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A808A4" w:rsidRPr="00E8205D">
        <w:rPr>
          <w:rFonts w:ascii="Book Antiqua" w:eastAsia="Calibri" w:hAnsi="Book Antiqua" w:cs="Arial"/>
          <w:b/>
          <w:bCs/>
        </w:rPr>
        <w:t>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41C5E727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921900" w:rsidRPr="00921900">
        <w:rPr>
          <w:rFonts w:ascii="Book Antiqua" w:hAnsi="Book Antiqua" w:cs="Arial"/>
          <w:b/>
          <w:bCs/>
          <w:lang w:val="en-GB"/>
        </w:rPr>
        <w:t xml:space="preserve">Transmission Line Package TL01 </w:t>
      </w:r>
      <w:r w:rsidR="00921900" w:rsidRPr="00921900">
        <w:rPr>
          <w:rFonts w:ascii="Book Antiqua" w:hAnsi="Book Antiqua" w:cs="Arial"/>
          <w:lang w:val="en-GB"/>
        </w:rPr>
        <w:t>for (i) Bypassing of both ckts of 765 kV Sasan–Vindhyachal Pool 2xS/c line at Vindhyachal Pool and connecting it with 765 kV Vindhyachal Pool-Prayagraj D/c line, thus forming 765 kV Sasan-Prayagraj D/c line (ii) 765 kV Vindhyachal Pool-Prayagraj D/c line -Part-I associated with “Inter-regional (NR-WR) Transmission System strengthening to relieve the loading of 765 kV Vindhyachal-Varanasi D/c line” through Tariff Based Competitive Bidding (TBCB) route.</w:t>
      </w:r>
    </w:p>
    <w:p w14:paraId="4DF1D91B" w14:textId="1AF4B23E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41D14" w:rsidRPr="00941D14">
        <w:rPr>
          <w:rFonts w:ascii="Book Antiqua" w:hAnsi="Book Antiqua" w:cs="Arial"/>
        </w:rPr>
        <w:t>CC/T/W-TW/DOM/A01/25/07331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E717E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81</cp:revision>
  <cp:lastPrinted>2023-04-24T11:11:00Z</cp:lastPrinted>
  <dcterms:created xsi:type="dcterms:W3CDTF">2023-04-21T17:03:00Z</dcterms:created>
  <dcterms:modified xsi:type="dcterms:W3CDTF">2025-06-02T07:06:00Z</dcterms:modified>
</cp:coreProperties>
</file>